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附表2：</w:t>
      </w:r>
    </w:p>
    <w:p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hint="eastAsia" w:ascii="Times New Roman" w:hAnsi="Times New Roman" w:cs="Times New Roman"/>
          <w:b/>
          <w:bCs/>
          <w:sz w:val="28"/>
          <w:szCs w:val="28"/>
          <w:lang w:eastAsia="zh-CN"/>
        </w:rPr>
        <w:t>第三届</w:t>
      </w:r>
      <w:r>
        <w:rPr>
          <w:rFonts w:ascii="Times New Roman" w:hAnsi="Times New Roman" w:cs="Times New Roman"/>
          <w:b/>
          <w:bCs/>
          <w:sz w:val="28"/>
          <w:szCs w:val="28"/>
        </w:rPr>
        <w:t>“丝路工匠”国际技能大赛</w:t>
      </w:r>
    </w:p>
    <w:p>
      <w:pPr>
        <w:spacing w:line="320" w:lineRule="exact"/>
        <w:ind w:right="-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西餐西式面点（黄油饼干）技术技能竞赛评分表</w:t>
      </w:r>
    </w:p>
    <w:p>
      <w:pPr>
        <w:rPr>
          <w:rFonts w:ascii="Times New Roman" w:hAnsi="Times New Roman" w:cs="Times New Roman"/>
          <w:sz w:val="24"/>
        </w:rPr>
      </w:pPr>
    </w:p>
    <w:p>
      <w:pPr>
        <w:ind w:firstLine="281" w:firstLineChars="100"/>
        <w:jc w:val="left"/>
        <w:rPr>
          <w:rFonts w:ascii="宋体" w:hAnsi="宋体" w:eastAsia="宋体" w:cs="Times New Roman"/>
          <w:b/>
          <w:sz w:val="28"/>
        </w:rPr>
      </w:pPr>
      <w:r>
        <w:rPr>
          <w:rFonts w:ascii="宋体" w:hAnsi="宋体" w:eastAsia="宋体" w:cs="Times New Roman"/>
          <w:b/>
          <w:sz w:val="28"/>
        </w:rPr>
        <w:t>第</w:t>
      </w:r>
      <w:r>
        <w:rPr>
          <w:rFonts w:ascii="宋体" w:hAnsi="宋体" w:eastAsia="宋体" w:cs="Times New Roman"/>
          <w:b/>
          <w:sz w:val="28"/>
          <w:u w:val="single"/>
        </w:rPr>
        <w:t xml:space="preserve">      </w:t>
      </w:r>
      <w:r>
        <w:rPr>
          <w:rFonts w:ascii="宋体" w:hAnsi="宋体" w:eastAsia="宋体" w:cs="Times New Roman"/>
          <w:b/>
          <w:sz w:val="28"/>
        </w:rPr>
        <w:t>场                         工位号：</w:t>
      </w:r>
      <w:r>
        <w:rPr>
          <w:rFonts w:ascii="宋体" w:hAnsi="宋体" w:eastAsia="宋体" w:cs="Times New Roman"/>
          <w:b/>
          <w:sz w:val="28"/>
          <w:u w:val="single"/>
        </w:rPr>
        <w:t xml:space="preserve">          </w:t>
      </w:r>
    </w:p>
    <w:p>
      <w:pPr>
        <w:ind w:firstLine="281" w:firstLineChars="100"/>
        <w:jc w:val="left"/>
        <w:rPr>
          <w:rFonts w:ascii="Times New Roman" w:hAnsi="Times New Roman" w:eastAsia="仿宋" w:cs="Times New Roman"/>
          <w:b/>
          <w:sz w:val="28"/>
          <w:u w:val="single"/>
        </w:rPr>
      </w:pPr>
    </w:p>
    <w:tbl>
      <w:tblPr>
        <w:tblStyle w:val="2"/>
        <w:tblW w:w="9132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1280"/>
        <w:gridCol w:w="1701"/>
        <w:gridCol w:w="3397"/>
        <w:gridCol w:w="742"/>
        <w:gridCol w:w="102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  <w:t>内容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  <w:t>评分要点</w:t>
            </w:r>
          </w:p>
        </w:tc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  <w:t>评分标准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  <w:t>分值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128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色泽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br w:type="textWrapping"/>
            </w:r>
            <w:r>
              <w:rPr>
                <w:rFonts w:ascii="Times New Roman" w:hAnsi="Times New Roman" w:cs="Times New Roman"/>
                <w:kern w:val="0"/>
                <w:szCs w:val="21"/>
              </w:rPr>
              <w:t>（25分）（单选）</w:t>
            </w: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成品烤制色泽纯正，清新自然</w:t>
            </w:r>
          </w:p>
        </w:tc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A. 颜色偏白，无光泽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1-5</w:t>
            </w:r>
          </w:p>
        </w:tc>
        <w:tc>
          <w:tcPr>
            <w:tcW w:w="102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</w:p>
        </w:tc>
        <w:tc>
          <w:tcPr>
            <w:tcW w:w="128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701" w:type="dxa"/>
            <w:vMerge w:val="continue"/>
            <w:tcBorders>
              <w:left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B. 颜色较黄，无光泽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6-15</w:t>
            </w:r>
          </w:p>
        </w:tc>
        <w:tc>
          <w:tcPr>
            <w:tcW w:w="102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</w:p>
        </w:tc>
        <w:tc>
          <w:tcPr>
            <w:tcW w:w="12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70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C. 颜色呈棕黄色，有光泽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16-25</w:t>
            </w:r>
          </w:p>
        </w:tc>
        <w:tc>
          <w:tcPr>
            <w:tcW w:w="102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  <w:t>2</w:t>
            </w:r>
          </w:p>
        </w:tc>
        <w:tc>
          <w:tcPr>
            <w:tcW w:w="128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指定造型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br w:type="textWrapping"/>
            </w:r>
            <w:r>
              <w:rPr>
                <w:rFonts w:ascii="Times New Roman" w:hAnsi="Times New Roman" w:cs="Times New Roman"/>
                <w:kern w:val="0"/>
                <w:szCs w:val="21"/>
              </w:rPr>
              <w:t>（15分）（单选）</w:t>
            </w: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挤制精美、纹路清晰、形态自然、大小均匀、薄厚一致</w:t>
            </w:r>
          </w:p>
        </w:tc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A. 质地不均匀，有凹陷或凸起，大小不均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1-5</w:t>
            </w:r>
          </w:p>
        </w:tc>
        <w:tc>
          <w:tcPr>
            <w:tcW w:w="102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</w:p>
        </w:tc>
        <w:tc>
          <w:tcPr>
            <w:tcW w:w="128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701" w:type="dxa"/>
            <w:vMerge w:val="continue"/>
            <w:tcBorders>
              <w:left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B. 质地疏松，纹路模糊不清，大小相对一致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6-10</w:t>
            </w:r>
          </w:p>
        </w:tc>
        <w:tc>
          <w:tcPr>
            <w:tcW w:w="102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</w:p>
        </w:tc>
        <w:tc>
          <w:tcPr>
            <w:tcW w:w="12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70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C. 质地均匀，纹路明显清晰，大小一致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11-15</w:t>
            </w:r>
          </w:p>
        </w:tc>
        <w:tc>
          <w:tcPr>
            <w:tcW w:w="102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8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  <w:t>3</w:t>
            </w:r>
          </w:p>
        </w:tc>
        <w:tc>
          <w:tcPr>
            <w:tcW w:w="128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创意造型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br w:type="textWrapping"/>
            </w:r>
            <w:r>
              <w:rPr>
                <w:rFonts w:ascii="Times New Roman" w:hAnsi="Times New Roman" w:cs="Times New Roman"/>
                <w:kern w:val="0"/>
                <w:szCs w:val="21"/>
              </w:rPr>
              <w:t>（25分）（多选）</w:t>
            </w: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挤制精美、纹路清晰、形态自然、大小均匀、薄厚一致</w:t>
            </w:r>
          </w:p>
        </w:tc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A. 质地不均匀，有凹陷或凸起，大小不均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1-5</w:t>
            </w:r>
          </w:p>
        </w:tc>
        <w:tc>
          <w:tcPr>
            <w:tcW w:w="102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</w:p>
        </w:tc>
        <w:tc>
          <w:tcPr>
            <w:tcW w:w="128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701" w:type="dxa"/>
            <w:vMerge w:val="continue"/>
            <w:tcBorders>
              <w:left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B. 质地疏松，纹路模糊不清，大小相对一致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6-10</w:t>
            </w:r>
          </w:p>
        </w:tc>
        <w:tc>
          <w:tcPr>
            <w:tcW w:w="102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</w:p>
        </w:tc>
        <w:tc>
          <w:tcPr>
            <w:tcW w:w="128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70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C. 质地均匀，纹路明显清晰，大小一致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11-15</w:t>
            </w:r>
          </w:p>
        </w:tc>
        <w:tc>
          <w:tcPr>
            <w:tcW w:w="102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</w:p>
        </w:tc>
        <w:tc>
          <w:tcPr>
            <w:tcW w:w="128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701" w:type="dxa"/>
            <w:vMerge w:val="restart"/>
            <w:tcBorders>
              <w:left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创意</w:t>
            </w:r>
          </w:p>
        </w:tc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A. 创意饼干构思新颖、有创新、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1-5</w:t>
            </w:r>
          </w:p>
        </w:tc>
        <w:tc>
          <w:tcPr>
            <w:tcW w:w="102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</w:p>
        </w:tc>
        <w:tc>
          <w:tcPr>
            <w:tcW w:w="12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70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B. 工艺精湛，整体符合竞赛标准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1-5</w:t>
            </w:r>
          </w:p>
        </w:tc>
        <w:tc>
          <w:tcPr>
            <w:tcW w:w="102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  <w:t>4</w:t>
            </w:r>
          </w:p>
        </w:tc>
        <w:tc>
          <w:tcPr>
            <w:tcW w:w="128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香味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br w:type="textWrapping"/>
            </w:r>
            <w:r>
              <w:rPr>
                <w:rFonts w:ascii="Times New Roman" w:hAnsi="Times New Roman" w:cs="Times New Roman"/>
                <w:kern w:val="0"/>
                <w:szCs w:val="21"/>
              </w:rPr>
              <w:t>（5分）（多选）</w:t>
            </w: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饼干油香味道浓郁，无其它异味</w:t>
            </w:r>
          </w:p>
        </w:tc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A. 无烘焙香味，有生面味或焦糊味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102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</w:p>
        </w:tc>
        <w:tc>
          <w:tcPr>
            <w:tcW w:w="128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701" w:type="dxa"/>
            <w:vMerge w:val="continue"/>
            <w:tcBorders>
              <w:left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B. 有烘焙特有香味，但气味较淡，或略带焦糊味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2-3</w:t>
            </w:r>
          </w:p>
        </w:tc>
        <w:tc>
          <w:tcPr>
            <w:tcW w:w="102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</w:p>
        </w:tc>
        <w:tc>
          <w:tcPr>
            <w:tcW w:w="12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70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C. 有烘焙特有香味，气味纯正浓郁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4-5</w:t>
            </w:r>
          </w:p>
        </w:tc>
        <w:tc>
          <w:tcPr>
            <w:tcW w:w="102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  <w:t>5</w:t>
            </w:r>
          </w:p>
        </w:tc>
        <w:tc>
          <w:tcPr>
            <w:tcW w:w="128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口味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br w:type="textWrapping"/>
            </w:r>
            <w:r>
              <w:rPr>
                <w:rFonts w:ascii="Times New Roman" w:hAnsi="Times New Roman" w:cs="Times New Roman"/>
                <w:kern w:val="0"/>
                <w:szCs w:val="21"/>
              </w:rPr>
              <w:t>（5分）（多选）</w:t>
            </w: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口味纯正、浓淡恰当、口感酥脆</w:t>
            </w:r>
          </w:p>
        </w:tc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A. 入口无回味，滋味偏甜，有异味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102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</w:p>
        </w:tc>
        <w:tc>
          <w:tcPr>
            <w:tcW w:w="128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701" w:type="dxa"/>
            <w:vMerge w:val="continue"/>
            <w:tcBorders>
              <w:left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B. 入口有较淡回味，滋味一般，比较酥松，存在时间短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2-3</w:t>
            </w:r>
          </w:p>
        </w:tc>
        <w:tc>
          <w:tcPr>
            <w:tcW w:w="102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</w:p>
        </w:tc>
        <w:tc>
          <w:tcPr>
            <w:tcW w:w="12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70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C. 入口味道浓郁，滋味微甜，酥松可口，回味浓郁，且存在时间较长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4-5</w:t>
            </w:r>
          </w:p>
        </w:tc>
        <w:tc>
          <w:tcPr>
            <w:tcW w:w="102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  <w:t>6</w:t>
            </w:r>
          </w:p>
        </w:tc>
        <w:tc>
          <w:tcPr>
            <w:tcW w:w="128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质感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br w:type="textWrapping"/>
            </w:r>
            <w:r>
              <w:rPr>
                <w:rFonts w:ascii="Times New Roman" w:hAnsi="Times New Roman" w:cs="Times New Roman"/>
                <w:kern w:val="0"/>
                <w:szCs w:val="21"/>
              </w:rPr>
              <w:t>（15分）（多选）</w:t>
            </w: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制品成熟适当，质感酥脆，符合其应有的特点</w:t>
            </w:r>
          </w:p>
        </w:tc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 xml:space="preserve">A. 质地过于粗糙，有异物感 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1-5</w:t>
            </w:r>
          </w:p>
        </w:tc>
        <w:tc>
          <w:tcPr>
            <w:tcW w:w="102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</w:p>
        </w:tc>
        <w:tc>
          <w:tcPr>
            <w:tcW w:w="128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701" w:type="dxa"/>
            <w:vMerge w:val="continue"/>
            <w:tcBorders>
              <w:left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B. 质地比较粗糙，颗粒感较强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6-10</w:t>
            </w:r>
          </w:p>
        </w:tc>
        <w:tc>
          <w:tcPr>
            <w:tcW w:w="102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</w:p>
        </w:tc>
        <w:tc>
          <w:tcPr>
            <w:tcW w:w="12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70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C. 质地细腻，颗粒感较弱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11-15</w:t>
            </w:r>
          </w:p>
        </w:tc>
        <w:tc>
          <w:tcPr>
            <w:tcW w:w="102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  <w:t>7</w:t>
            </w:r>
          </w:p>
        </w:tc>
        <w:tc>
          <w:tcPr>
            <w:tcW w:w="128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卫生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br w:type="textWrapping"/>
            </w:r>
            <w:r>
              <w:rPr>
                <w:rFonts w:ascii="Times New Roman" w:hAnsi="Times New Roman" w:cs="Times New Roman"/>
                <w:kern w:val="0"/>
                <w:szCs w:val="21"/>
              </w:rPr>
              <w:t>（10分）（多选）</w:t>
            </w: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装盘干净、制品符合食品卫生要求</w:t>
            </w:r>
          </w:p>
        </w:tc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A. 装盘干净卫生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1-5</w:t>
            </w:r>
          </w:p>
        </w:tc>
        <w:tc>
          <w:tcPr>
            <w:tcW w:w="102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2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70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B. 操作台整体干净整洁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6-10</w:t>
            </w:r>
          </w:p>
        </w:tc>
        <w:tc>
          <w:tcPr>
            <w:tcW w:w="102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8108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  <w:t>　合 计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</w:tbl>
    <w:p>
      <w:pPr>
        <w:ind w:firstLine="482" w:firstLineChars="200"/>
        <w:rPr>
          <w:rFonts w:ascii="Times New Roman" w:hAnsi="Times New Roman" w:cs="Times New Roman"/>
          <w:b/>
          <w:bCs/>
          <w:sz w:val="24"/>
        </w:rPr>
      </w:pPr>
    </w:p>
    <w:p>
      <w:r>
        <w:rPr>
          <w:rFonts w:ascii="Times New Roman" w:hAnsi="Times New Roman" w:cs="Times New Roman"/>
          <w:b/>
          <w:bCs/>
          <w:sz w:val="24"/>
        </w:rPr>
        <w:t>评分人：</w:t>
      </w:r>
      <w:r>
        <w:rPr>
          <w:rFonts w:ascii="Times New Roman" w:hAnsi="Times New Roman" w:cs="Times New Roman"/>
          <w:b/>
          <w:bCs/>
          <w:sz w:val="24"/>
          <w:u w:val="single"/>
        </w:rPr>
        <w:t xml:space="preserve">           </w:t>
      </w:r>
      <w:r>
        <w:rPr>
          <w:rFonts w:ascii="Times New Roman" w:hAnsi="Times New Roman" w:cs="Times New Roman"/>
          <w:b/>
          <w:bCs/>
          <w:sz w:val="24"/>
        </w:rPr>
        <w:t xml:space="preserve">                        核分人：</w:t>
      </w:r>
      <w:r>
        <w:rPr>
          <w:rFonts w:ascii="Times New Roman" w:hAnsi="Times New Roman" w:cs="Times New Roman"/>
          <w:b/>
          <w:bCs/>
          <w:sz w:val="24"/>
          <w:u w:val="single"/>
        </w:rPr>
        <w:t xml:space="preserve">          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UzODNkYTIzNDIwZWFiM2YwYTRkYzI3Zjk1MTA1MWEifQ=="/>
  </w:docVars>
  <w:rsids>
    <w:rsidRoot w:val="00000000"/>
    <w:rsid w:val="36224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2023-07-07T04:13:41Z</dcterms:created>
  <dc:creator>Administrator</dc:creator>
  <cp:lastModifiedBy>东子( ･ิϖ･ิ)</cp:lastModifiedBy>
  <dcterms:modified xsi:type="dcterms:W3CDTF">2023-07-07T04:13:50Z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E5F81F5B4AA1440E9886FCA6044B242D_12</vt:lpwstr>
  </property>
</Properties>
</file>