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jc w:val="left"/>
        <w:rPr>
          <w:rFonts w:cs="宋体" w:asciiTheme="minorEastAsia" w:hAnsiTheme="minorEastAsia"/>
          <w:b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kern w:val="0"/>
          <w:sz w:val="32"/>
          <w:szCs w:val="32"/>
          <w:lang w:val="zh-CN"/>
        </w:rPr>
        <w:t>附件</w:t>
      </w:r>
      <w:r>
        <w:rPr>
          <w:rFonts w:hint="eastAsia" w:cs="宋体" w:asciiTheme="minorEastAsia" w:hAnsiTheme="minorEastAsia"/>
          <w:b/>
          <w:kern w:val="0"/>
          <w:sz w:val="32"/>
          <w:szCs w:val="32"/>
        </w:rPr>
        <w:t>4：</w:t>
      </w:r>
    </w:p>
    <w:p>
      <w:pPr>
        <w:spacing w:line="500" w:lineRule="exact"/>
        <w:jc w:val="center"/>
        <w:rPr>
          <w:rFonts w:cs="Times New Roman" w:asciiTheme="minorEastAsia" w:hAnsiTheme="minorEastAsia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第三届“丝路工匠”国际技能大赛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cs="宋体" w:asciiTheme="minorEastAsia" w:hAnsiTheme="minorEastAsia"/>
          <w:b/>
          <w:bCs/>
          <w:kern w:val="0"/>
          <w:sz w:val="28"/>
          <w:szCs w:val="28"/>
          <w:lang w:val="zh-CN"/>
        </w:rPr>
      </w:pPr>
      <w:r>
        <w:rPr>
          <w:rFonts w:cs="宋体" w:asciiTheme="minorEastAsia" w:hAnsiTheme="minorEastAsia"/>
          <w:b/>
          <w:bCs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西餐</w:t>
      </w: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西式</w:t>
      </w:r>
      <w:r>
        <w:rPr>
          <w:rFonts w:cs="宋体" w:asciiTheme="minorEastAsia" w:hAnsiTheme="minorEastAsia"/>
          <w:b/>
          <w:bCs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烹调</w:t>
      </w:r>
      <w:r>
        <w:rPr>
          <w:rFonts w:hint="eastAsia" w:cs="宋体" w:asciiTheme="minorEastAsia" w:hAnsiTheme="minorEastAsia"/>
          <w:b/>
          <w:bCs/>
          <w:kern w:val="0"/>
          <w:sz w:val="28"/>
          <w:szCs w:val="28"/>
          <w:lang w:val="zh-CN"/>
        </w:rPr>
        <w:t>技术技能竞赛流程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cs="宋体" w:asciiTheme="minorEastAsia" w:hAnsiTheme="minorEastAsia"/>
          <w:b/>
          <w:bCs/>
          <w:kern w:val="0"/>
          <w:sz w:val="28"/>
          <w:szCs w:val="28"/>
          <w:lang w:val="zh-CN"/>
        </w:rPr>
      </w:pP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62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步 骤</w:t>
            </w:r>
          </w:p>
        </w:tc>
        <w:tc>
          <w:tcPr>
            <w:tcW w:w="6287" w:type="dxa"/>
          </w:tcPr>
          <w:p>
            <w:pPr>
              <w:autoSpaceDE w:val="0"/>
              <w:autoSpaceDN w:val="0"/>
              <w:adjustRightInd w:val="0"/>
              <w:spacing w:line="500" w:lineRule="exact"/>
              <w:ind w:firstLine="2160" w:firstLineChars="9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内 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选手报到</w:t>
            </w:r>
          </w:p>
        </w:tc>
        <w:tc>
          <w:tcPr>
            <w:tcW w:w="6287" w:type="dxa"/>
          </w:tcPr>
          <w:p>
            <w:pPr>
              <w:widowControl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（1）更换赛委会统一提供的服装、佩戴参赛证、查看竞赛场次安排等。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（2）参赛选手整理原材料、参赛用具，检录处抽取工位号并签字（抽取工位号并签字、验料、检录入场）。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赛前准备</w:t>
            </w:r>
          </w:p>
        </w:tc>
        <w:tc>
          <w:tcPr>
            <w:tcW w:w="6287" w:type="dxa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参赛选手进入指定赛场、核对工位号、开始准备比赛。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制作作品</w:t>
            </w:r>
          </w:p>
        </w:tc>
        <w:tc>
          <w:tcPr>
            <w:tcW w:w="6287" w:type="dxa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按前场比赛要求按时完成指定作品、自选作品的比赛项目。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递交作品</w:t>
            </w:r>
          </w:p>
        </w:tc>
        <w:tc>
          <w:tcPr>
            <w:tcW w:w="6287" w:type="dxa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（1）参赛选手在规定时间内完成参赛作品，并填写好赛品登记表，一并交给传菜服务生。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（2）完成、并送评作品后打扫卫生、整理工位、离场。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ODNkYTIzNDIwZWFiM2YwYTRkYzI3Zjk1MTA1MWEifQ=="/>
  </w:docVars>
  <w:rsids>
    <w:rsidRoot w:val="00000000"/>
    <w:rsid w:val="2EA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2023-07-07T03:34:17Z</dcterms:created>
  <dc:creator>Administrator</dc:creator>
  <cp:lastModifiedBy>东子( ･ิϖ･ิ)</cp:lastModifiedBy>
  <dcterms:modified xsi:type="dcterms:W3CDTF">2023-07-07T03:34:27Z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D7EB17FEEAC54720AC82FC59181E899E_12</vt:lpwstr>
  </property>
</Properties>
</file>